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25C7" w14:textId="77777777" w:rsidR="0011782F" w:rsidRPr="003A3CED" w:rsidRDefault="0011782F" w:rsidP="0011782F">
      <w:pPr>
        <w:rPr>
          <w:b/>
          <w:bCs/>
        </w:rPr>
      </w:pPr>
      <w:r w:rsidRPr="003A3CED">
        <w:rPr>
          <w:b/>
          <w:bCs/>
        </w:rPr>
        <w:t>Questions for Adam Costa</w:t>
      </w:r>
    </w:p>
    <w:p w14:paraId="474F8B17" w14:textId="54D06F2A" w:rsidR="006E0570" w:rsidRDefault="006E0570" w:rsidP="0011782F">
      <w:pPr>
        <w:pStyle w:val="ListParagraph"/>
        <w:numPr>
          <w:ilvl w:val="6"/>
          <w:numId w:val="1"/>
        </w:numPr>
        <w:ind w:left="540" w:hanging="540"/>
      </w:pPr>
      <w:r>
        <w:t xml:space="preserve">Zoning Bylaw </w:t>
      </w:r>
      <w:r w:rsidR="0011782F">
        <w:t>Section 7.5.5</w:t>
      </w:r>
      <w:r>
        <w:t xml:space="preserve"> - </w:t>
      </w:r>
      <w:r w:rsidR="0011782F">
        <w:t xml:space="preserve">Square </w:t>
      </w:r>
      <w:r>
        <w:t>F</w:t>
      </w:r>
      <w:r w:rsidR="0011782F">
        <w:t xml:space="preserve">eet of </w:t>
      </w:r>
      <w:r>
        <w:t>D</w:t>
      </w:r>
      <w:r w:rsidR="0011782F">
        <w:t xml:space="preserve">evelopment—The section says, </w:t>
      </w:r>
    </w:p>
    <w:p w14:paraId="69A503E1" w14:textId="242218CD" w:rsidR="0011782F" w:rsidRDefault="0011782F" w:rsidP="006E0570">
      <w:pPr>
        <w:ind w:left="540"/>
      </w:pPr>
      <w:r>
        <w:t>“</w:t>
      </w:r>
      <w:r w:rsidRPr="006E0570">
        <w:rPr>
          <w:i/>
          <w:iCs/>
        </w:rPr>
        <w:t>The total square feet of a commercial or industrial development shall be limited to the amount of development that could be constructed in full conformance with all zoning, subdivision, and other applicable state and local regulations, and without extraordinary engineering measures. Where the maximum square feet is in doubt, the determination of the Planning Board shall be conclusive for all purposes”</w:t>
      </w:r>
      <w:r>
        <w:t xml:space="preserve">. </w:t>
      </w:r>
    </w:p>
    <w:p w14:paraId="75ED29FD" w14:textId="77777777" w:rsidR="006E0570" w:rsidRDefault="006E0570" w:rsidP="0011782F">
      <w:pPr>
        <w:pStyle w:val="ListParagraph"/>
        <w:ind w:left="540"/>
      </w:pPr>
      <w:r>
        <w:t>T</w:t>
      </w:r>
      <w:r w:rsidR="0011782F">
        <w:t xml:space="preserve">he “amount of development” under the by right scenario </w:t>
      </w:r>
      <w:r>
        <w:t>was never submitted to the Planning Board. However, Campanelli</w:t>
      </w:r>
      <w:r w:rsidR="0011782F">
        <w:t xml:space="preserve"> did provide Figure 7</w:t>
      </w:r>
      <w:r>
        <w:t xml:space="preserve"> in the</w:t>
      </w:r>
      <w:r w:rsidR="0011782F">
        <w:t xml:space="preserve"> </w:t>
      </w:r>
      <w:r>
        <w:t>Single Environmental Impact Report (</w:t>
      </w:r>
      <w:r w:rsidR="0011782F">
        <w:t>SEIR</w:t>
      </w:r>
      <w:r>
        <w:t>) to MEPA</w:t>
      </w:r>
      <w:r w:rsidR="0011782F">
        <w:t xml:space="preserve"> showing 447,300 sf</w:t>
      </w:r>
      <w:r>
        <w:t>, which included some two-story buildings,</w:t>
      </w:r>
      <w:r w:rsidR="0011782F">
        <w:t xml:space="preserve"> to be built as of right.  </w:t>
      </w:r>
    </w:p>
    <w:p w14:paraId="50BDBD98" w14:textId="77777777" w:rsidR="006E0570" w:rsidRDefault="006E0570" w:rsidP="0011782F">
      <w:pPr>
        <w:pStyle w:val="ListParagraph"/>
        <w:ind w:left="540"/>
      </w:pPr>
    </w:p>
    <w:p w14:paraId="7A92BE9A" w14:textId="6D25C155" w:rsidR="0011782F" w:rsidRDefault="006E0570" w:rsidP="0011782F">
      <w:pPr>
        <w:pStyle w:val="ListParagraph"/>
        <w:ind w:left="540"/>
      </w:pPr>
      <w:r>
        <w:t>Campanelli has proposed a building footprint number for 446,000</w:t>
      </w:r>
      <w:r w:rsidR="00FA02FE">
        <w:t xml:space="preserve"> sf</w:t>
      </w:r>
      <w:r>
        <w:t>, which is consistent with that number, but then is add</w:t>
      </w:r>
      <w:r w:rsidR="00FA02FE">
        <w:t>i</w:t>
      </w:r>
      <w:r>
        <w:t>ng 221,</w:t>
      </w:r>
      <w:r w:rsidR="00FA02FE">
        <w:t>5</w:t>
      </w:r>
      <w:r>
        <w:t xml:space="preserve">00 sf to account for potential </w:t>
      </w:r>
      <w:r w:rsidR="0011782F">
        <w:t>mezzanine</w:t>
      </w:r>
      <w:r>
        <w:t xml:space="preserve">s, which </w:t>
      </w:r>
      <w:r w:rsidR="0011782F">
        <w:t>increas</w:t>
      </w:r>
      <w:r>
        <w:t>es the</w:t>
      </w:r>
      <w:r w:rsidR="0011782F">
        <w:t xml:space="preserve"> overall square footage</w:t>
      </w:r>
      <w:r>
        <w:t xml:space="preserve"> to 667,000 sf.  Is the 667,000 sf consistent with this Section 7.5.5? </w:t>
      </w:r>
    </w:p>
    <w:p w14:paraId="09D7ABCB" w14:textId="77777777" w:rsidR="006E0570" w:rsidRDefault="006E0570" w:rsidP="0011782F">
      <w:pPr>
        <w:pStyle w:val="ListParagraph"/>
        <w:ind w:left="540"/>
      </w:pPr>
    </w:p>
    <w:p w14:paraId="6AA7216A" w14:textId="76193DE0" w:rsidR="0011782F" w:rsidRDefault="006E0570" w:rsidP="0011782F">
      <w:pPr>
        <w:pStyle w:val="ListParagraph"/>
        <w:numPr>
          <w:ilvl w:val="6"/>
          <w:numId w:val="1"/>
        </w:numPr>
        <w:ind w:left="540" w:hanging="540"/>
      </w:pPr>
      <w:r>
        <w:t xml:space="preserve">Please </w:t>
      </w:r>
      <w:r w:rsidR="0011782F">
        <w:t xml:space="preserve">Review Conservation Restrictions and </w:t>
      </w:r>
      <w:r>
        <w:t xml:space="preserve">the </w:t>
      </w:r>
      <w:r w:rsidR="0011782F">
        <w:t>offer of Lot 100 to the town</w:t>
      </w:r>
      <w:r>
        <w:t xml:space="preserve">. Please provide guidance as to </w:t>
      </w:r>
      <w:r w:rsidR="0011782F">
        <w:t>what kind of agreements need to be in place</w:t>
      </w:r>
      <w:r>
        <w:t xml:space="preserve"> and how those agreements will be drafted, </w:t>
      </w:r>
      <w:r w:rsidR="00FA02FE">
        <w:t>reviewed,</w:t>
      </w:r>
      <w:r>
        <w:t xml:space="preserve"> and accepted</w:t>
      </w:r>
      <w:r w:rsidR="0011782F">
        <w:t xml:space="preserve">? </w:t>
      </w:r>
    </w:p>
    <w:p w14:paraId="4B38005F" w14:textId="77777777" w:rsidR="006E0570" w:rsidRDefault="006E0570" w:rsidP="006E0570">
      <w:pPr>
        <w:pStyle w:val="ListParagraph"/>
        <w:ind w:left="540"/>
      </w:pPr>
    </w:p>
    <w:p w14:paraId="28B9C8EF" w14:textId="16294DA2" w:rsidR="0011782F" w:rsidRDefault="0011782F" w:rsidP="0011782F">
      <w:pPr>
        <w:pStyle w:val="ListParagraph"/>
        <w:numPr>
          <w:ilvl w:val="6"/>
          <w:numId w:val="1"/>
        </w:numPr>
        <w:ind w:left="540" w:hanging="540"/>
      </w:pPr>
      <w:r>
        <w:t xml:space="preserve">What are the tax implications of putting the 94 acres of land into Conservation Restriction (several of the parcels are currently listed as “UNDEV” land and already have a reduced tax valuation). </w:t>
      </w:r>
      <w:r w:rsidR="006E0570">
        <w:t>Assuming Campanelli continues to own the land. w</w:t>
      </w:r>
      <w:r>
        <w:t xml:space="preserve">ill putting a CR on them reduce the tax valuation further?  </w:t>
      </w:r>
      <w:r w:rsidR="006E0570">
        <w:t>Is there a difference between an “Open Space Restriction” and a “Conservation Restriction”?</w:t>
      </w:r>
    </w:p>
    <w:p w14:paraId="4CB15602" w14:textId="77777777" w:rsidR="006E0570" w:rsidRDefault="006E0570" w:rsidP="006E0570">
      <w:pPr>
        <w:pStyle w:val="ListParagraph"/>
      </w:pPr>
    </w:p>
    <w:p w14:paraId="7A5E421A" w14:textId="3057A8BE" w:rsidR="0011782F" w:rsidRDefault="00B329C6" w:rsidP="0011782F">
      <w:pPr>
        <w:pStyle w:val="ListParagraph"/>
        <w:numPr>
          <w:ilvl w:val="6"/>
          <w:numId w:val="1"/>
        </w:numPr>
        <w:ind w:left="540" w:hanging="540"/>
      </w:pPr>
      <w:r>
        <w:t xml:space="preserve">Please provide input on what an agreement to donate Lot 100 to the town of Boxborough would look like.  Should we have a draft agreement in place before signing off on the OSCD?  </w:t>
      </w:r>
      <w:r w:rsidR="0011782F">
        <w:t xml:space="preserve">What </w:t>
      </w:r>
      <w:r>
        <w:t>would be</w:t>
      </w:r>
      <w:r w:rsidR="0011782F">
        <w:t xml:space="preserve"> the timing of tax payments</w:t>
      </w:r>
      <w:r>
        <w:t xml:space="preserve"> by Campanelli</w:t>
      </w:r>
      <w:r w:rsidR="0011782F">
        <w:t xml:space="preserve"> on Lot 100 until Town accepts it</w:t>
      </w:r>
      <w:r>
        <w:t>, i.e.,</w:t>
      </w:r>
      <w:r w:rsidR="0011782F">
        <w:t xml:space="preserve"> </w:t>
      </w:r>
      <w:r>
        <w:t>w</w:t>
      </w:r>
      <w:r w:rsidR="0011782F">
        <w:t xml:space="preserve">hen do they take the parcels off their tax rolls?  </w:t>
      </w:r>
    </w:p>
    <w:p w14:paraId="58427E09" w14:textId="77777777" w:rsidR="00B329C6" w:rsidRDefault="00B329C6" w:rsidP="00B329C6">
      <w:pPr>
        <w:pStyle w:val="ListParagraph"/>
        <w:ind w:left="540"/>
      </w:pPr>
    </w:p>
    <w:p w14:paraId="0D1AD204" w14:textId="77777777" w:rsidR="0011782F" w:rsidRDefault="0011782F" w:rsidP="0011782F">
      <w:pPr>
        <w:pStyle w:val="ListParagraph"/>
        <w:numPr>
          <w:ilvl w:val="6"/>
          <w:numId w:val="1"/>
        </w:numPr>
        <w:ind w:left="540" w:hanging="540"/>
      </w:pPr>
      <w:r>
        <w:t>If we reduce acreage for Harvard parcel and Lot 100 Donation, that changes dimensional requirements. FAR would be slightly over 0.1 under current zoning—is it prudent to include all 350 acres in the dimensional calculations (FAR) and Open Space calculations which would be reduced from 71% to 61%?</w:t>
      </w:r>
    </w:p>
    <w:p w14:paraId="58F78C96" w14:textId="3B79F2D2" w:rsidR="0011782F" w:rsidRDefault="0011782F" w:rsidP="0011782F">
      <w:pPr>
        <w:pStyle w:val="ListParagraph"/>
        <w:numPr>
          <w:ilvl w:val="6"/>
          <w:numId w:val="1"/>
        </w:numPr>
        <w:ind w:left="540" w:hanging="540"/>
      </w:pPr>
      <w:r>
        <w:lastRenderedPageBreak/>
        <w:t xml:space="preserve">The entire property is located within the Aquifer Protection District. Our bylaw includes Section 8.1 which includes Use Regulations and Performance Standards for facilities in the APD.  The Special Permit Granting Authority for permits in the APD is the ZBA.  How </w:t>
      </w:r>
      <w:r w:rsidR="00B329C6">
        <w:t>can</w:t>
      </w:r>
      <w:r>
        <w:t xml:space="preserve"> we address this in the Decision?  </w:t>
      </w:r>
      <w:r w:rsidR="00B329C6">
        <w:t>Would</w:t>
      </w:r>
      <w:r>
        <w:t xml:space="preserve"> Site Plan review for each project require a Special Permit App to the ZBA?</w:t>
      </w:r>
    </w:p>
    <w:p w14:paraId="1A97573E" w14:textId="77777777" w:rsidR="00B329C6" w:rsidRDefault="00B329C6" w:rsidP="00B329C6">
      <w:pPr>
        <w:pStyle w:val="ListParagraph"/>
        <w:ind w:left="540"/>
      </w:pPr>
    </w:p>
    <w:p w14:paraId="2BD94BFB" w14:textId="5F38ECD1" w:rsidR="0011782F" w:rsidRDefault="0011782F" w:rsidP="0011782F">
      <w:pPr>
        <w:pStyle w:val="ListParagraph"/>
        <w:numPr>
          <w:ilvl w:val="6"/>
          <w:numId w:val="1"/>
        </w:numPr>
        <w:ind w:left="540" w:hanging="540"/>
      </w:pPr>
      <w:r>
        <w:t>Development Period – Campanelli proposes a 20-year period that does not commence until the first building permit and the CR’s are recorded. This could result in a long extension before the Development period commences.  Would like to see language that includes a shorter development period (10 years) with a commencement date that begins sooner—possibly upon recording of the Decision</w:t>
      </w:r>
      <w:r w:rsidR="00B329C6">
        <w:t>.</w:t>
      </w:r>
      <w:r>
        <w:t xml:space="preserve">  Would also like to include a requirement that the first project must obtain a building permit/shovel in the ground within 5 years of this Decision.</w:t>
      </w:r>
    </w:p>
    <w:p w14:paraId="53CC91AC" w14:textId="77777777" w:rsidR="00B329C6" w:rsidRDefault="00B329C6" w:rsidP="00B329C6">
      <w:pPr>
        <w:pStyle w:val="ListParagraph"/>
        <w:ind w:left="540"/>
      </w:pPr>
    </w:p>
    <w:p w14:paraId="67769102" w14:textId="6734DD7B" w:rsidR="00B329C6" w:rsidRDefault="0011782F" w:rsidP="00B329C6">
      <w:pPr>
        <w:pStyle w:val="ListParagraph"/>
        <w:numPr>
          <w:ilvl w:val="6"/>
          <w:numId w:val="1"/>
        </w:numPr>
        <w:ind w:left="540" w:hanging="540"/>
      </w:pPr>
      <w:r>
        <w:t xml:space="preserve">Campanelli proposed a condition that states </w:t>
      </w:r>
      <w:r w:rsidR="00FA02FE" w:rsidRPr="009C2146">
        <w:rPr>
          <w:i/>
          <w:iCs/>
        </w:rPr>
        <w:t>“The</w:t>
      </w:r>
      <w:r w:rsidRPr="009C2146">
        <w:rPr>
          <w:i/>
          <w:iCs/>
        </w:rPr>
        <w:t xml:space="preserve"> Applicant shall not be expected to provide public access to buildings or other areas of the Site that have not been restricted as open space/recreation area. A plan and rules and regulations for public access to areas of the Site that have been so restricted shall be filed with and approved by the Planning Board. Such approval will not be unreasonably denied.</w:t>
      </w:r>
      <w:r>
        <w:t xml:space="preserve">  What kind of “Plan and Rules and Regulations” would this be? When would we need to have them in place?</w:t>
      </w:r>
    </w:p>
    <w:p w14:paraId="39B1D8EF" w14:textId="77777777" w:rsidR="00B329C6" w:rsidRDefault="00B329C6" w:rsidP="00B329C6">
      <w:pPr>
        <w:pStyle w:val="ListParagraph"/>
      </w:pPr>
    </w:p>
    <w:p w14:paraId="5ACB05FE" w14:textId="77777777" w:rsidR="00B329C6" w:rsidRPr="009C2146" w:rsidRDefault="00B329C6" w:rsidP="00B329C6">
      <w:pPr>
        <w:pStyle w:val="ListParagraph"/>
        <w:ind w:left="540"/>
      </w:pPr>
    </w:p>
    <w:p w14:paraId="47F3E244" w14:textId="5892DE1F" w:rsidR="0011782F" w:rsidRDefault="00B329C6" w:rsidP="0011782F">
      <w:pPr>
        <w:pStyle w:val="ListParagraph"/>
        <w:numPr>
          <w:ilvl w:val="6"/>
          <w:numId w:val="1"/>
        </w:numPr>
        <w:ind w:left="540" w:hanging="540"/>
      </w:pPr>
      <w:r>
        <w:t xml:space="preserve">The Trail Ridge Way Condominiums are located adjacent to the property line at Lot 800. These units were built after the original and amended OSCD permits of 1997 and 2001. They have indicated concerns about impacts from the proposed development including impact to wells, noise, light, building height and wildlife impacts.  </w:t>
      </w:r>
      <w:r w:rsidR="0011782F">
        <w:t xml:space="preserve">Can we require </w:t>
      </w:r>
      <w:r>
        <w:t xml:space="preserve">that </w:t>
      </w:r>
      <w:r w:rsidR="0011782F">
        <w:t>Campanelli be responsible for mitigation</w:t>
      </w:r>
      <w:r>
        <w:t xml:space="preserve"> of any demonstrated impacts to the condominiums</w:t>
      </w:r>
      <w:r w:rsidR="0011782F">
        <w:t xml:space="preserve"> and provide a mechanism for identifying how it would be triggered to protect the residents of Trail Ridge Way condos from </w:t>
      </w:r>
      <w:r>
        <w:t xml:space="preserve">both </w:t>
      </w:r>
      <w:r w:rsidR="0011782F">
        <w:t>construction and operational impacts?</w:t>
      </w:r>
    </w:p>
    <w:p w14:paraId="25EEF770" w14:textId="77777777" w:rsidR="00B329C6" w:rsidRDefault="00B329C6" w:rsidP="00B329C6">
      <w:pPr>
        <w:pStyle w:val="ListParagraph"/>
        <w:ind w:left="540"/>
      </w:pPr>
    </w:p>
    <w:p w14:paraId="723C3014" w14:textId="562BF3A7" w:rsidR="0011782F" w:rsidRDefault="0011782F" w:rsidP="0011782F">
      <w:pPr>
        <w:pStyle w:val="ListParagraph"/>
        <w:numPr>
          <w:ilvl w:val="6"/>
          <w:numId w:val="1"/>
        </w:numPr>
        <w:ind w:left="540" w:hanging="540"/>
      </w:pPr>
      <w:r>
        <w:t xml:space="preserve">Can we require that </w:t>
      </w:r>
      <w:r w:rsidR="00B329C6">
        <w:t xml:space="preserve">in consideration of approval of the OSCD permit, Neither Campanelli nor any of its successors would request property </w:t>
      </w:r>
      <w:r>
        <w:t xml:space="preserve">tax abatements </w:t>
      </w:r>
      <w:r w:rsidR="00B329C6">
        <w:t xml:space="preserve">from </w:t>
      </w:r>
      <w:r>
        <w:t>the town, nor appeal</w:t>
      </w:r>
      <w:r w:rsidR="00B329C6">
        <w:t xml:space="preserve"> any decision</w:t>
      </w:r>
      <w:r>
        <w:t xml:space="preserve"> to the State Appellate Tax Board?</w:t>
      </w:r>
    </w:p>
    <w:p w14:paraId="2DEDFC0C" w14:textId="77777777" w:rsidR="0011782F" w:rsidRDefault="0011782F"/>
    <w:sectPr w:rsidR="0011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72E"/>
    <w:multiLevelType w:val="hybridMultilevel"/>
    <w:tmpl w:val="CF30E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C46A9"/>
    <w:multiLevelType w:val="hybridMultilevel"/>
    <w:tmpl w:val="0FCA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D42F4"/>
    <w:multiLevelType w:val="hybridMultilevel"/>
    <w:tmpl w:val="9E9443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32983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46973">
    <w:abstractNumId w:val="0"/>
  </w:num>
  <w:num w:numId="3" w16cid:durableId="83834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2F"/>
    <w:rsid w:val="0011782F"/>
    <w:rsid w:val="003F685E"/>
    <w:rsid w:val="006E0570"/>
    <w:rsid w:val="007349AB"/>
    <w:rsid w:val="007D012F"/>
    <w:rsid w:val="009E43E3"/>
    <w:rsid w:val="00B329C6"/>
    <w:rsid w:val="00CE16CE"/>
    <w:rsid w:val="00E328E0"/>
    <w:rsid w:val="00FA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142F"/>
  <w15:chartTrackingRefBased/>
  <w15:docId w15:val="{7EFC7639-983B-49CA-9987-4665CF74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2F"/>
  </w:style>
  <w:style w:type="paragraph" w:styleId="Heading1">
    <w:name w:val="heading 1"/>
    <w:basedOn w:val="Normal"/>
    <w:next w:val="Normal"/>
    <w:link w:val="Heading1Char"/>
    <w:uiPriority w:val="9"/>
    <w:qFormat/>
    <w:rsid w:val="00117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2F"/>
    <w:rPr>
      <w:rFonts w:eastAsiaTheme="majorEastAsia" w:cstheme="majorBidi"/>
      <w:color w:val="272727" w:themeColor="text1" w:themeTint="D8"/>
    </w:rPr>
  </w:style>
  <w:style w:type="paragraph" w:styleId="Title">
    <w:name w:val="Title"/>
    <w:basedOn w:val="Normal"/>
    <w:next w:val="Normal"/>
    <w:link w:val="TitleChar"/>
    <w:uiPriority w:val="10"/>
    <w:qFormat/>
    <w:rsid w:val="00117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2F"/>
    <w:pPr>
      <w:spacing w:before="160"/>
      <w:jc w:val="center"/>
    </w:pPr>
    <w:rPr>
      <w:i/>
      <w:iCs/>
      <w:color w:val="404040" w:themeColor="text1" w:themeTint="BF"/>
    </w:rPr>
  </w:style>
  <w:style w:type="character" w:customStyle="1" w:styleId="QuoteChar">
    <w:name w:val="Quote Char"/>
    <w:basedOn w:val="DefaultParagraphFont"/>
    <w:link w:val="Quote"/>
    <w:uiPriority w:val="29"/>
    <w:rsid w:val="0011782F"/>
    <w:rPr>
      <w:i/>
      <w:iCs/>
      <w:color w:val="404040" w:themeColor="text1" w:themeTint="BF"/>
    </w:rPr>
  </w:style>
  <w:style w:type="paragraph" w:styleId="ListParagraph">
    <w:name w:val="List Paragraph"/>
    <w:basedOn w:val="Normal"/>
    <w:uiPriority w:val="34"/>
    <w:qFormat/>
    <w:rsid w:val="0011782F"/>
    <w:pPr>
      <w:ind w:left="720"/>
      <w:contextualSpacing/>
    </w:pPr>
  </w:style>
  <w:style w:type="character" w:styleId="IntenseEmphasis">
    <w:name w:val="Intense Emphasis"/>
    <w:basedOn w:val="DefaultParagraphFont"/>
    <w:uiPriority w:val="21"/>
    <w:qFormat/>
    <w:rsid w:val="0011782F"/>
    <w:rPr>
      <w:i/>
      <w:iCs/>
      <w:color w:val="2F5496" w:themeColor="accent1" w:themeShade="BF"/>
    </w:rPr>
  </w:style>
  <w:style w:type="paragraph" w:styleId="IntenseQuote">
    <w:name w:val="Intense Quote"/>
    <w:basedOn w:val="Normal"/>
    <w:next w:val="Normal"/>
    <w:link w:val="IntenseQuoteChar"/>
    <w:uiPriority w:val="30"/>
    <w:qFormat/>
    <w:rsid w:val="00117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82F"/>
    <w:rPr>
      <w:i/>
      <w:iCs/>
      <w:color w:val="2F5496" w:themeColor="accent1" w:themeShade="BF"/>
    </w:rPr>
  </w:style>
  <w:style w:type="character" w:styleId="IntenseReference">
    <w:name w:val="Intense Reference"/>
    <w:basedOn w:val="DefaultParagraphFont"/>
    <w:uiPriority w:val="32"/>
    <w:qFormat/>
    <w:rsid w:val="00117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Markowitz</dc:creator>
  <cp:keywords/>
  <dc:description/>
  <cp:lastModifiedBy>Cindy Markowitz</cp:lastModifiedBy>
  <cp:revision>3</cp:revision>
  <dcterms:created xsi:type="dcterms:W3CDTF">2025-09-22T12:43:00Z</dcterms:created>
  <dcterms:modified xsi:type="dcterms:W3CDTF">2025-09-22T17:48:00Z</dcterms:modified>
</cp:coreProperties>
</file>